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D8B7" w14:textId="32BE01C6" w:rsidR="00097118" w:rsidRPr="00097118" w:rsidRDefault="00097118" w:rsidP="00097118">
      <w:pPr>
        <w:spacing w:beforeLines="50" w:before="120"/>
        <w:ind w:left="142" w:hanging="142"/>
        <w:rPr>
          <w:rFonts w:ascii="Calibri" w:hAnsi="Calibri" w:cs="Times New Roman"/>
          <w:b/>
          <w:color w:val="000000" w:themeColor="text1"/>
          <w:lang w:val="en-US" w:eastAsia="it-IT"/>
        </w:rPr>
      </w:pPr>
      <w:bookmarkStart w:id="0" w:name="_GoBack"/>
      <w:proofErr w:type="spellStart"/>
      <w:r w:rsidRPr="00097118">
        <w:rPr>
          <w:rFonts w:ascii="Calibri" w:hAnsi="Calibri" w:cs="Times New Roman"/>
          <w:b/>
          <w:color w:val="000000" w:themeColor="text1"/>
          <w:lang w:val="en-US" w:eastAsia="it-IT"/>
        </w:rPr>
        <w:t>Lista</w:t>
      </w:r>
      <w:proofErr w:type="spellEnd"/>
      <w:r w:rsidRPr="00097118">
        <w:rPr>
          <w:rFonts w:ascii="Calibri" w:hAnsi="Calibri" w:cs="Times New Roman"/>
          <w:b/>
          <w:color w:val="000000" w:themeColor="text1"/>
          <w:lang w:val="en-US" w:eastAsia="it-IT"/>
        </w:rPr>
        <w:t xml:space="preserve"> </w:t>
      </w:r>
      <w:proofErr w:type="spellStart"/>
      <w:r w:rsidRPr="00097118">
        <w:rPr>
          <w:rFonts w:ascii="Calibri" w:hAnsi="Calibri" w:cs="Times New Roman"/>
          <w:b/>
          <w:color w:val="000000" w:themeColor="text1"/>
          <w:lang w:val="en-US" w:eastAsia="it-IT"/>
        </w:rPr>
        <w:t>pubblicazioni</w:t>
      </w:r>
      <w:proofErr w:type="spellEnd"/>
    </w:p>
    <w:bookmarkEnd w:id="0"/>
    <w:p w14:paraId="14B30470" w14:textId="77777777" w:rsidR="00097118" w:rsidRDefault="00097118" w:rsidP="00097118">
      <w:pPr>
        <w:spacing w:beforeLines="50" w:before="120"/>
        <w:ind w:left="142" w:hanging="142"/>
        <w:rPr>
          <w:rFonts w:ascii="Calibri" w:hAnsi="Calibri" w:cs="Times New Roman"/>
          <w:color w:val="000000" w:themeColor="text1"/>
          <w:lang w:val="en-US" w:eastAsia="it-IT"/>
        </w:rPr>
      </w:pPr>
    </w:p>
    <w:p w14:paraId="39CE46EF" w14:textId="7A1BC38F" w:rsidR="006F6DC7" w:rsidRPr="00097118" w:rsidRDefault="006F6DC7" w:rsidP="00097118">
      <w:pPr>
        <w:spacing w:beforeLines="50" w:before="120"/>
        <w:ind w:left="142" w:hanging="142"/>
        <w:rPr>
          <w:rFonts w:ascii="Times" w:hAnsi="Times" w:cs="Times New Roman"/>
          <w:color w:val="000000" w:themeColor="text1"/>
          <w:sz w:val="20"/>
          <w:szCs w:val="20"/>
          <w:lang w:val="en-US" w:eastAsia="it-IT"/>
        </w:rPr>
      </w:pP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Carta A.,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Savio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L.,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Bedini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G., Peruzzi L.,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Fisogni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A., </w:t>
      </w:r>
      <w:proofErr w:type="spellStart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>Galloni</w:t>
      </w:r>
      <w:proofErr w:type="spell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M.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(2016) All in an afternoon: mixed breeding system in one-day lasting flowers of </w:t>
      </w:r>
      <w:proofErr w:type="spellStart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>Hypericum</w:t>
      </w:r>
      <w:proofErr w:type="spellEnd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 xml:space="preserve"> </w:t>
      </w:r>
      <w:proofErr w:type="spellStart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>elodes</w:t>
      </w:r>
      <w:proofErr w:type="spellEnd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 xml:space="preserve">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>L. (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Hypericaceae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>). Plant Biosystems</w:t>
      </w:r>
      <w:r w:rsidR="00097118">
        <w:rPr>
          <w:rFonts w:ascii="Calibri" w:hAnsi="Calibri" w:cs="Times New Roman"/>
          <w:color w:val="000000" w:themeColor="text1"/>
          <w:lang w:val="en-US" w:eastAsia="it-IT"/>
        </w:rPr>
        <w:t>,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150</w:t>
      </w:r>
      <w:r w:rsidR="00097118">
        <w:rPr>
          <w:rFonts w:ascii="Calibri" w:hAnsi="Calibri" w:cs="Times New Roman"/>
          <w:color w:val="000000" w:themeColor="text1"/>
          <w:lang w:val="en-US" w:eastAsia="it-IT"/>
        </w:rPr>
        <w:t>,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1001-2009.</w:t>
      </w:r>
    </w:p>
    <w:p w14:paraId="1CEC5556" w14:textId="1D723CA9" w:rsidR="006F6DC7" w:rsidRPr="00097118" w:rsidRDefault="006F6DC7" w:rsidP="00097118">
      <w:pPr>
        <w:spacing w:beforeLines="50" w:before="120"/>
        <w:ind w:left="142" w:hanging="142"/>
        <w:rPr>
          <w:rFonts w:ascii="Times" w:hAnsi="Times" w:cs="Times New Roman"/>
          <w:color w:val="000000" w:themeColor="text1"/>
          <w:sz w:val="20"/>
          <w:szCs w:val="20"/>
          <w:lang w:val="en-US" w:eastAsia="it-IT"/>
        </w:rPr>
      </w:pP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Rossi M.,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Fisogni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A., </w:t>
      </w:r>
      <w:proofErr w:type="spellStart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>Galloni</w:t>
      </w:r>
      <w:proofErr w:type="spell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M.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>(2016)</w:t>
      </w:r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 xml:space="preserve">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>The effect of pollination mode on seed performance of</w:t>
      </w:r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 xml:space="preserve"> </w:t>
      </w:r>
      <w:proofErr w:type="spellStart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>Gentiana</w:t>
      </w:r>
      <w:proofErr w:type="spellEnd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 xml:space="preserve"> </w:t>
      </w:r>
      <w:proofErr w:type="spellStart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>lutea</w:t>
      </w:r>
      <w:proofErr w:type="spellEnd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 xml:space="preserve">: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A laboratory evaluation of seed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germinability</w:t>
      </w:r>
      <w:proofErr w:type="spellEnd"/>
      <w:r w:rsidRPr="00097118">
        <w:rPr>
          <w:rFonts w:ascii="Calibri" w:hAnsi="Calibri" w:cs="Times New Roman"/>
          <w:i/>
          <w:iCs/>
          <w:color w:val="000000" w:themeColor="text1"/>
          <w:lang w:val="en-US" w:eastAsia="it-IT"/>
        </w:rPr>
        <w:t xml:space="preserve">. </w:t>
      </w:r>
      <w:r w:rsidR="00097118">
        <w:rPr>
          <w:rFonts w:ascii="Calibri" w:hAnsi="Calibri" w:cs="Times New Roman"/>
          <w:color w:val="000000" w:themeColor="text1"/>
          <w:lang w:val="en-US" w:eastAsia="it-IT"/>
        </w:rPr>
        <w:t>Nordic Journal of B</w:t>
      </w:r>
      <w:r w:rsidR="00097118" w:rsidRPr="00097118">
        <w:rPr>
          <w:rFonts w:ascii="Calibri" w:hAnsi="Calibri" w:cs="Times New Roman"/>
          <w:color w:val="000000" w:themeColor="text1"/>
          <w:lang w:val="en-US" w:eastAsia="it-IT"/>
        </w:rPr>
        <w:t>otany</w:t>
      </w:r>
      <w:r w:rsidR="00097118">
        <w:rPr>
          <w:rFonts w:ascii="Calibri" w:hAnsi="Calibri" w:cs="Times New Roman"/>
          <w:color w:val="000000" w:themeColor="text1"/>
          <w:lang w:val="en-US" w:eastAsia="it-IT"/>
        </w:rPr>
        <w:t>,</w:t>
      </w:r>
      <w:r w:rsidR="00097118"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>34</w:t>
      </w:r>
      <w:r w:rsidR="00097118">
        <w:rPr>
          <w:rFonts w:ascii="Calibri" w:hAnsi="Calibri" w:cs="Times New Roman"/>
          <w:color w:val="000000" w:themeColor="text1"/>
          <w:lang w:val="en-US" w:eastAsia="it-IT"/>
        </w:rPr>
        <w:t>,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761-768. </w:t>
      </w:r>
    </w:p>
    <w:p w14:paraId="4DEB61AF" w14:textId="23AF939B" w:rsidR="006F6DC7" w:rsidRPr="00097118" w:rsidRDefault="006F6DC7" w:rsidP="00097118">
      <w:pPr>
        <w:spacing w:beforeLines="50" w:before="120"/>
        <w:ind w:left="142" w:hanging="142"/>
        <w:rPr>
          <w:rFonts w:ascii="Calibri" w:hAnsi="Calibri" w:cs="Times New Roman"/>
          <w:bCs/>
          <w:color w:val="000000" w:themeColor="text1"/>
          <w:lang w:eastAsia="it-IT"/>
        </w:rPr>
      </w:pP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Fisogni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A.,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Quaranta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M.,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Grillenzoni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F.,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Corvucci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F., </w:t>
      </w:r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De </w:t>
      </w:r>
      <w:proofErr w:type="spellStart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>Manincor</w:t>
      </w:r>
      <w:proofErr w:type="spell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N.,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Bogo G.,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Bortolotti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L., </w:t>
      </w:r>
      <w:proofErr w:type="spellStart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>Galloni</w:t>
      </w:r>
      <w:proofErr w:type="spell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M. (2018) Pollen load diversity and foraging niche overlap in a pollinator community of the rare </w:t>
      </w:r>
      <w:proofErr w:type="spellStart"/>
      <w:r w:rsidRPr="00097118">
        <w:rPr>
          <w:rFonts w:ascii="Calibri" w:hAnsi="Calibri" w:cs="Times New Roman"/>
          <w:bCs/>
          <w:i/>
          <w:color w:val="000000" w:themeColor="text1"/>
          <w:lang w:val="en-US" w:eastAsia="it-IT"/>
        </w:rPr>
        <w:t>Dictamnus</w:t>
      </w:r>
      <w:proofErr w:type="spellEnd"/>
      <w:r w:rsidRPr="00097118">
        <w:rPr>
          <w:rFonts w:ascii="Calibri" w:hAnsi="Calibri" w:cs="Times New Roman"/>
          <w:bCs/>
          <w:i/>
          <w:color w:val="000000" w:themeColor="text1"/>
          <w:lang w:val="en-US" w:eastAsia="it-IT"/>
        </w:rPr>
        <w:t xml:space="preserve"> </w:t>
      </w:r>
      <w:proofErr w:type="spellStart"/>
      <w:r w:rsidRPr="00097118">
        <w:rPr>
          <w:rFonts w:ascii="Calibri" w:hAnsi="Calibri" w:cs="Times New Roman"/>
          <w:bCs/>
          <w:i/>
          <w:color w:val="000000" w:themeColor="text1"/>
          <w:lang w:val="en-US" w:eastAsia="it-IT"/>
        </w:rPr>
        <w:t>albus</w:t>
      </w:r>
      <w:proofErr w:type="spell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</w:t>
      </w:r>
      <w:proofErr w:type="gramStart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>L..</w:t>
      </w:r>
      <w:proofErr w:type="gram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</w:t>
      </w:r>
      <w:proofErr w:type="spellStart"/>
      <w:r w:rsidR="00097118">
        <w:rPr>
          <w:rFonts w:ascii="Calibri" w:hAnsi="Calibri" w:cs="Times New Roman"/>
          <w:bCs/>
          <w:color w:val="000000" w:themeColor="text1"/>
          <w:lang w:eastAsia="it-IT"/>
        </w:rPr>
        <w:t>Arthropod-Plant</w:t>
      </w:r>
      <w:proofErr w:type="spellEnd"/>
      <w:r w:rsidR="00097118">
        <w:rPr>
          <w:rFonts w:ascii="Calibri" w:hAnsi="Calibri" w:cs="Times New Roman"/>
          <w:bCs/>
          <w:color w:val="000000" w:themeColor="text1"/>
          <w:lang w:eastAsia="it-IT"/>
        </w:rPr>
        <w:t xml:space="preserve"> </w:t>
      </w:r>
      <w:proofErr w:type="spellStart"/>
      <w:r w:rsidR="00097118">
        <w:rPr>
          <w:rFonts w:ascii="Calibri" w:hAnsi="Calibri" w:cs="Times New Roman"/>
          <w:bCs/>
          <w:color w:val="000000" w:themeColor="text1"/>
          <w:lang w:eastAsia="it-IT"/>
        </w:rPr>
        <w:t>Interactions</w:t>
      </w:r>
      <w:proofErr w:type="spellEnd"/>
      <w:r w:rsidR="00097118">
        <w:rPr>
          <w:rFonts w:ascii="Calibri" w:hAnsi="Calibri" w:cs="Times New Roman"/>
          <w:bCs/>
          <w:color w:val="000000" w:themeColor="text1"/>
          <w:lang w:eastAsia="it-IT"/>
        </w:rPr>
        <w:t>, 12,</w:t>
      </w:r>
      <w:r w:rsidRPr="00097118">
        <w:rPr>
          <w:rFonts w:ascii="Calibri" w:hAnsi="Calibri" w:cs="Times New Roman"/>
          <w:bCs/>
          <w:color w:val="000000" w:themeColor="text1"/>
          <w:lang w:eastAsia="it-IT"/>
        </w:rPr>
        <w:t xml:space="preserve"> 191-200.</w:t>
      </w:r>
    </w:p>
    <w:p w14:paraId="3C48C52F" w14:textId="73BFC013" w:rsidR="006F6DC7" w:rsidRPr="00097118" w:rsidRDefault="006F6DC7" w:rsidP="00097118">
      <w:pPr>
        <w:spacing w:beforeLines="50" w:before="120"/>
        <w:ind w:left="142" w:hanging="142"/>
        <w:rPr>
          <w:rFonts w:ascii="Calibri" w:hAnsi="Calibri" w:cs="Times New Roman"/>
          <w:color w:val="000000" w:themeColor="text1"/>
          <w:lang w:val="en-US" w:eastAsia="it-IT"/>
        </w:rPr>
      </w:pP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Barberis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M., Bogo G.,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Bortolotti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L., Conte L.,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Alessandrini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M.,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Nepi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M., </w:t>
      </w:r>
      <w:proofErr w:type="spellStart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>Galloni</w:t>
      </w:r>
      <w:proofErr w:type="spell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M.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(2021) Gender-biased nectar targets different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behavioural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traits of flower visitors. Plant Ecology</w:t>
      </w:r>
      <w:r w:rsidR="00097118">
        <w:rPr>
          <w:rFonts w:ascii="Calibri" w:hAnsi="Calibri" w:cs="Times New Roman"/>
          <w:color w:val="000000" w:themeColor="text1"/>
          <w:lang w:val="en-US" w:eastAsia="it-IT"/>
        </w:rPr>
        <w:t>, 222,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233-246</w:t>
      </w:r>
    </w:p>
    <w:p w14:paraId="6EBE64B6" w14:textId="0D0CBB75" w:rsidR="006F6DC7" w:rsidRPr="00097118" w:rsidRDefault="006F6DC7" w:rsidP="00097118">
      <w:pPr>
        <w:spacing w:beforeLines="50" w:before="120"/>
        <w:ind w:left="142" w:hanging="142"/>
        <w:rPr>
          <w:rFonts w:ascii="Calibri" w:hAnsi="Calibri" w:cs="Times New Roman"/>
          <w:color w:val="000000" w:themeColor="text1"/>
          <w:lang w:val="en-US" w:eastAsia="it-IT"/>
        </w:rPr>
      </w:pP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Bogo G.,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Fisogni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A.,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Rabassa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Juvanteny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J.,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Bortolotti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L.,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Nepi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M.,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Guarnieri</w:t>
      </w:r>
      <w:proofErr w:type="spellEnd"/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M., Conte L., </w:t>
      </w:r>
      <w:proofErr w:type="spellStart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>Galloni</w:t>
      </w:r>
      <w:proofErr w:type="spellEnd"/>
      <w:r w:rsidRPr="00097118">
        <w:rPr>
          <w:rFonts w:ascii="Calibri" w:hAnsi="Calibri" w:cs="Times New Roman"/>
          <w:bCs/>
          <w:color w:val="000000" w:themeColor="text1"/>
          <w:lang w:val="en-US" w:eastAsia="it-IT"/>
        </w:rPr>
        <w:t xml:space="preserve"> M.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(2021) Nectar chemistry is not only a plant's affair: floral visitors affect nectar sugar and amino acid composition. </w:t>
      </w:r>
      <w:proofErr w:type="spellStart"/>
      <w:r w:rsidRPr="00097118">
        <w:rPr>
          <w:rFonts w:ascii="Calibri" w:hAnsi="Calibri" w:cs="Times New Roman"/>
          <w:color w:val="000000" w:themeColor="text1"/>
          <w:lang w:val="en-US" w:eastAsia="it-IT"/>
        </w:rPr>
        <w:t>Oikos</w:t>
      </w:r>
      <w:proofErr w:type="spellEnd"/>
      <w:r w:rsidR="00097118">
        <w:rPr>
          <w:rFonts w:ascii="Calibri" w:hAnsi="Calibri" w:cs="Times New Roman"/>
          <w:color w:val="000000" w:themeColor="text1"/>
          <w:lang w:val="en-US" w:eastAsia="it-IT"/>
        </w:rPr>
        <w:t>,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 xml:space="preserve"> 130</w:t>
      </w:r>
      <w:r w:rsidR="00097118">
        <w:rPr>
          <w:rFonts w:ascii="Calibri" w:hAnsi="Calibri" w:cs="Times New Roman"/>
          <w:color w:val="000000" w:themeColor="text1"/>
          <w:lang w:val="en-US" w:eastAsia="it-IT"/>
        </w:rPr>
        <w:t xml:space="preserve">, </w:t>
      </w:r>
      <w:r w:rsidRPr="00097118">
        <w:rPr>
          <w:rFonts w:ascii="Calibri" w:hAnsi="Calibri" w:cs="Times New Roman"/>
          <w:color w:val="000000" w:themeColor="text1"/>
          <w:lang w:val="en-US" w:eastAsia="it-IT"/>
        </w:rPr>
        <w:t>1180-1192.</w:t>
      </w:r>
    </w:p>
    <w:p w14:paraId="3D9AAC80" w14:textId="77777777" w:rsidR="0050477F" w:rsidRPr="00097118" w:rsidRDefault="00097118" w:rsidP="00097118">
      <w:pPr>
        <w:ind w:left="142" w:hanging="142"/>
      </w:pPr>
    </w:p>
    <w:sectPr w:rsidR="0050477F" w:rsidRPr="00097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D94"/>
    <w:multiLevelType w:val="hybridMultilevel"/>
    <w:tmpl w:val="0A663CA2"/>
    <w:lvl w:ilvl="0" w:tplc="EE2C07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alibri" w:eastAsia="Times" w:hAnsi="Calibri" w:hint="default"/>
        <w:w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7"/>
    <w:rsid w:val="00097118"/>
    <w:rsid w:val="00673881"/>
    <w:rsid w:val="006F6DC7"/>
    <w:rsid w:val="00FB624A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C4DBA"/>
  <w15:chartTrackingRefBased/>
  <w15:docId w15:val="{6932652A-EDD4-DC48-8AD5-EB8F436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F6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Galloni</dc:creator>
  <cp:keywords/>
  <dc:description/>
  <cp:lastModifiedBy>Utente di Microsoft Office</cp:lastModifiedBy>
  <cp:revision>3</cp:revision>
  <dcterms:created xsi:type="dcterms:W3CDTF">2021-12-15T10:11:00Z</dcterms:created>
  <dcterms:modified xsi:type="dcterms:W3CDTF">2021-12-16T13:21:00Z</dcterms:modified>
</cp:coreProperties>
</file>